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Times New Roman" w:hAnsi="Times New Roman" w:eastAsia="Times New Roman"/>
          <w:b/>
          <w:sz w:val="28"/>
        </w:rPr>
        <w:t>МГТУ им. Н. Э. Баумана</w:t>
        <w:br/>
        <w:t>Кафедра ИУ-2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1F4E79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</w:tcPr>
          <w:p>
            <w:pPr>
              <w:spacing w:before="360" w:after="36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40"/>
              </w:rPr>
              <w:t>ОТЧЕТ</w:t>
              <w:br/>
              <w:t>по лабораторной работе</w:t>
              <w:br/>
              <w:t>«Модуль LabVIEW»</w:t>
            </w:r>
          </w:p>
        </w:tc>
      </w:tr>
    </w:tbl>
    <w:p>
      <w:pPr>
        <w:spacing w:after="240"/>
        <w:jc w:val="center"/>
      </w:pPr>
      <w:r>
        <w:rPr>
          <w:rFonts w:ascii="Times New Roman" w:hAnsi="Times New Roman" w:eastAsia="Times New Roman"/>
          <w:sz w:val="26"/>
        </w:rPr>
        <w:t>по дисциплине «Расчет и синтез приборов и систем на ЭВМ»</w:t>
      </w:r>
    </w:p>
    <w:p/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6"/>
              </w:rPr>
              <w:t>Выполнили:</w:t>
            </w:r>
          </w:p>
        </w:tc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6"/>
              </w:rPr>
              <w:t>Давыдов Даниил</w:t>
              <w:br/>
              <w:t>Сочнев Михаил</w:t>
            </w:r>
          </w:p>
        </w:tc>
      </w:tr>
      <w:tr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6"/>
              </w:rPr>
              <w:t>Группа:</w:t>
            </w:r>
          </w:p>
        </w:tc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6"/>
              </w:rPr>
              <w:t>ИУ2-81</w:t>
            </w:r>
          </w:p>
        </w:tc>
      </w:tr>
      <w:tr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6"/>
              </w:rPr>
              <w:t>Вариант:</w:t>
            </w:r>
          </w:p>
        </w:tc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6"/>
              </w:rPr>
              <w:t>1</w:t>
            </w:r>
          </w:p>
        </w:tc>
      </w:tr>
      <w:tr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6"/>
              </w:rPr>
              <w:t>Дата:</w:t>
            </w:r>
          </w:p>
        </w:tc>
        <w:tc>
          <w:tcPr>
            <w:tcW w:type="dxa" w:w="51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6"/>
              </w:rPr>
              <w:t>10.05.2026</w:t>
            </w:r>
          </w:p>
        </w:tc>
      </w:tr>
    </w:tbl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N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1100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f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25 Гц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dt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0,001 c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Peak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121.21 @ 25.43 Гц</w:t>
            </w:r>
          </w:p>
        </w:tc>
      </w:tr>
    </w:tbl>
    <w:p/>
    <w:p/>
    <w:p/>
    <w:p/>
    <w:p>
      <w:pPr>
        <w:jc w:val="center"/>
      </w:pPr>
      <w:r>
        <w:rPr>
          <w:rFonts w:ascii="Times New Roman" w:hAnsi="Times New Roman" w:eastAsia="Times New Roman"/>
          <w:sz w:val="26"/>
        </w:rPr>
        <w:t>Москва, 2026</w:t>
      </w:r>
    </w:p>
    <w:p>
      <w:r>
        <w:br w:type="page"/>
      </w:r>
    </w:p>
    <w:p>
      <w:pPr>
        <w:pStyle w:val="Heading1"/>
        <w:spacing w:before="160" w:after="120"/>
        <w:pBdr>
          <w:bottom w:val="single" w:sz="8" w:space="4" w:color="D7E3EF"/>
        </w:pBdr>
      </w:pPr>
      <w:r>
        <w:rPr>
          <w:rFonts w:ascii="Times New Roman" w:hAnsi="Times New Roman" w:eastAsia="Times New Roman"/>
          <w:b/>
          <w:color w:val="1F4E79"/>
          <w:sz w:val="30"/>
        </w:rPr>
        <w:t>1. Цель и задача работы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Цель работы - изучить возможности среды LabVIEW при построении виртуальных приборов, организации обмена данными по последовательному интерфейсу RS-232 и обработке измерительного массива.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В работе использовались две программы: «Генератор.vi» и «Управляющее устройство.vi». Генератор формирует сигнал и возвращает данные в ответ на командный пакет, а управляющее устройство задает параметры, принимает массив измерений, выполняет обработку и отображает результат.</w:t>
      </w:r>
    </w:p>
    <w:p>
      <w:pPr>
        <w:pStyle w:val="Heading1"/>
        <w:spacing w:before="160" w:after="120"/>
        <w:pBdr>
          <w:bottom w:val="single" w:sz="8" w:space="4" w:color="D7E3EF"/>
        </w:pBdr>
      </w:pPr>
      <w:r>
        <w:rPr>
          <w:rFonts w:ascii="Times New Roman" w:hAnsi="Times New Roman" w:eastAsia="Times New Roman"/>
          <w:b/>
          <w:color w:val="1F4E79"/>
          <w:sz w:val="30"/>
        </w:rPr>
        <w:t>2. Условия эксперимента и структура обмена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Для выполнения лабораторной работы был принят вариант 1. Основные параметры эксперимента сведены в таблицу 1.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09"/>
        <w:gridCol w:w="1709"/>
        <w:gridCol w:w="1709"/>
        <w:gridCol w:w="1709"/>
        <w:gridCol w:w="1709"/>
        <w:gridCol w:w="1709"/>
      </w:tblGrid>
      <w:tr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Вариант</w:t>
            </w:r>
          </w:p>
        </w:tc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N</w:t>
            </w:r>
          </w:p>
        </w:tc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Сигнал</w:t>
            </w:r>
          </w:p>
        </w:tc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Частота</w:t>
            </w:r>
          </w:p>
        </w:tc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Интервал</w:t>
            </w:r>
          </w:p>
        </w:tc>
        <w:tc>
          <w:tcPr>
            <w:tcW w:type="dxa" w:w="1709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Спектр</w:t>
            </w:r>
          </w:p>
        </w:tc>
      </w:tr>
      <w:tr>
        <w:tc>
          <w:tcPr>
            <w:tcW w:type="dxa" w:w="1709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</w:t>
            </w:r>
          </w:p>
        </w:tc>
        <w:tc>
          <w:tcPr>
            <w:tcW w:type="dxa" w:w="1709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1100</w:t>
            </w:r>
          </w:p>
        </w:tc>
        <w:tc>
          <w:tcPr>
            <w:tcW w:type="dxa" w:w="1709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синусоидальный</w:t>
            </w:r>
          </w:p>
        </w:tc>
        <w:tc>
          <w:tcPr>
            <w:tcW w:type="dxa" w:w="1709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25 Гц</w:t>
            </w:r>
          </w:p>
        </w:tc>
        <w:tc>
          <w:tcPr>
            <w:tcW w:type="dxa" w:w="1709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0,001 с</w:t>
            </w:r>
          </w:p>
        </w:tc>
        <w:tc>
          <w:tcPr>
            <w:tcW w:type="dxa" w:w="1709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амплитудный, Peak</w:t>
            </w:r>
          </w:p>
        </w:tc>
      </w:tr>
    </w:tbl>
    <w:p>
      <w:pPr>
        <w:spacing w:before="40" w:after="160"/>
        <w:jc w:val="center"/>
      </w:pPr>
      <w:r>
        <w:rPr>
          <w:rFonts w:ascii="Times New Roman" w:hAnsi="Times New Roman" w:eastAsia="Times New Roman"/>
          <w:i/>
          <w:sz w:val="22"/>
        </w:rPr>
        <w:t>Таблица 1 - Параметры выполнения работы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Обмен данными выполнялся в пакетном режиме: управляющее устройство передает команду, генератор проверяет пакет, формирует требуемое значение сигнала и отправляет ответ. В состав пакета входят стартовый символ, идентификатор устройства, код команды или ответа, данные, контрольная сумма FCS и символ окончания пакета.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09"/>
        <w:gridCol w:w="1709"/>
        <w:gridCol w:w="1709"/>
        <w:gridCol w:w="1709"/>
        <w:gridCol w:w="1709"/>
        <w:gridCol w:w="1709"/>
      </w:tblGrid>
      <w:tr>
        <w:tc>
          <w:tcPr>
            <w:tcW w:type="dxa" w:w="1709"/>
            <w:shd w:fill="1F4E79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0x10</w:t>
            </w:r>
          </w:p>
        </w:tc>
        <w:tc>
          <w:tcPr>
            <w:tcW w:type="dxa" w:w="1709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ID</w:t>
            </w:r>
          </w:p>
        </w:tc>
        <w:tc>
          <w:tcPr>
            <w:tcW w:type="dxa" w:w="1709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Code</w:t>
            </w:r>
          </w:p>
        </w:tc>
        <w:tc>
          <w:tcPr>
            <w:tcW w:type="dxa" w:w="1709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Data</w:t>
            </w:r>
          </w:p>
        </w:tc>
        <w:tc>
          <w:tcPr>
            <w:tcW w:type="dxa" w:w="1709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20"/>
              </w:rPr>
              <w:t>FCS</w:t>
            </w:r>
          </w:p>
        </w:tc>
        <w:tc>
          <w:tcPr>
            <w:tcW w:type="dxa" w:w="1709"/>
            <w:shd w:fill="1F4E79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0"/>
              </w:rPr>
              <w:t>0x16</w:t>
            </w:r>
          </w:p>
        </w:tc>
      </w:tr>
    </w:tbl>
    <w:p>
      <w:pPr>
        <w:spacing w:before="40" w:after="160"/>
        <w:jc w:val="center"/>
      </w:pPr>
      <w:r>
        <w:rPr>
          <w:rFonts w:ascii="Times New Roman" w:hAnsi="Times New Roman" w:eastAsia="Times New Roman"/>
          <w:i/>
          <w:sz w:val="22"/>
        </w:rPr>
        <w:t>Рисунок 1 - Упрощенная структура командного/ответного пакета</w:t>
      </w:r>
    </w:p>
    <w:p>
      <w:pPr>
        <w:pStyle w:val="Heading1"/>
        <w:spacing w:before="160" w:after="120"/>
        <w:pBdr>
          <w:bottom w:val="single" w:sz="8" w:space="4" w:color="D7E3EF"/>
        </w:pBdr>
      </w:pPr>
      <w:r>
        <w:rPr>
          <w:rFonts w:ascii="Times New Roman" w:hAnsi="Times New Roman" w:eastAsia="Times New Roman"/>
          <w:b/>
          <w:color w:val="1F4E79"/>
          <w:sz w:val="30"/>
        </w:rPr>
        <w:t>3. Реализация программ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Программы были реализованы по шаблону Standard State Machine. Такой подход позволяет явно разделить этапы работы прибора и корректно завершать выполнение при ошибках COM-порта или ошибках структуры пакета.</w:t>
      </w:r>
    </w:p>
    <w:p>
      <w:pPr>
        <w:spacing w:before="80" w:after="40"/>
      </w:pPr>
      <w:r>
        <w:rPr>
          <w:rFonts w:ascii="Times New Roman" w:hAnsi="Times New Roman" w:eastAsia="Times New Roman"/>
          <w:b/>
          <w:color w:val="1F4E79"/>
          <w:sz w:val="26"/>
        </w:rPr>
        <w:t>Основные состояния конечного автомата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инициализация настроек и открытие COM-порта;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прием командного пакета и проверка его структуры;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формирование сигнала выбранного типа и накопление массива из N измерений;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математическая обработка массива, построение амплитудного спектра и запись TXT-файла;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закрытие COM-порта и завершение работы программы.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В алгоритм добавлена обработка ошибок VISA, проверка символа окончания пакета и контрольной суммы FCS. При возникновении ошибки программа не продолжает вычисления с некорректными данными, а переходит к корректному завершению работы.</w:t>
      </w:r>
    </w:p>
    <w:p>
      <w:pPr>
        <w:pStyle w:val="Heading1"/>
        <w:spacing w:before="160" w:after="120"/>
        <w:pBdr>
          <w:bottom w:val="single" w:sz="8" w:space="4" w:color="D7E3EF"/>
        </w:pBdr>
      </w:pPr>
      <w:r>
        <w:rPr>
          <w:rFonts w:ascii="Times New Roman" w:hAnsi="Times New Roman" w:eastAsia="Times New Roman"/>
          <w:b/>
          <w:color w:val="1F4E79"/>
          <w:sz w:val="30"/>
        </w:rPr>
        <w:t>4. Результаты и анализ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После запуска программ были заданы одинаковые параметры измерений: N = 1100, интервал дискретизации 0,001 с и частота синусоидального сигнала 25 Гц. Генератор использовал порт COM2, управляющее устройство - COM4.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64"/>
        <w:gridCol w:w="2564"/>
        <w:gridCol w:w="2564"/>
        <w:gridCol w:w="2564"/>
      </w:tblGrid>
      <w:tr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18"/>
              </w:rPr>
              <w:t>RMS value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23159,4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18"/>
              </w:rPr>
              <w:t>Точек спектра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551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18"/>
              </w:rPr>
              <w:t>Шаг частоты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0.908265 Гц</w:t>
            </w:r>
          </w:p>
        </w:tc>
        <w:tc>
          <w:tcPr>
            <w:tcW w:type="dxa" w:w="2564"/>
            <w:shd w:fill="EAF2F8"/>
            <w:tcBorders>
              <w:top w:val="single" w:sz="8" w:space="0" w:color="D7E3EF"/>
              <w:left w:val="single" w:sz="8" w:space="0" w:color="D7E3EF"/>
              <w:bottom w:val="single" w:sz="8" w:space="0" w:color="D7E3EF"/>
              <w:right w:val="single" w:sz="8" w:space="0" w:color="D7E3EF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1F4E79"/>
                <w:sz w:val="18"/>
              </w:rPr>
              <w:t>Совпадение TXT</w:t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да</w:t>
            </w:r>
          </w:p>
        </w:tc>
      </w:tr>
    </w:tbl>
    <w:p>
      <w:pPr>
        <w:spacing w:before="160"/>
        <w:jc w:val="center"/>
      </w:pPr>
      <w:r>
        <w:drawing>
          <wp:inline xmlns:a="http://schemas.openxmlformats.org/drawingml/2006/main" xmlns:pic="http://schemas.openxmlformats.org/drawingml/2006/picture">
            <wp:extent cx="5976000" cy="6769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bview_panels_mont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67694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Times New Roman" w:hAnsi="Times New Roman" w:eastAsia="Times New Roman"/>
          <w:i/>
          <w:sz w:val="22"/>
        </w:rPr>
        <w:t>Рисунок 2 - Лицевые панели программ после выполнения измерений</w:t>
      </w:r>
    </w:p>
    <w:p>
      <w:pPr>
        <w:spacing w:before="80" w:after="40"/>
      </w:pPr>
      <w:r>
        <w:rPr>
          <w:rFonts w:ascii="Times New Roman" w:hAnsi="Times New Roman" w:eastAsia="Times New Roman"/>
          <w:b/>
          <w:color w:val="1F4E79"/>
          <w:sz w:val="26"/>
        </w:rPr>
        <w:t>Численные результаты по TXT-файлам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Сохраненные файлы Davydov_generator.txt и Davydov_upr.txt содержат результаты спектрального анализа в формате LabVIEW Measurement. Расчетные значения по TXT-файлу приведены в таблице 2.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2"/>
              </w:rPr>
              <w:t>Параметр</w:t>
            </w:r>
          </w:p>
        </w:tc>
        <w:tc>
          <w:tcPr>
            <w:tcW w:type="dxa" w:w="5128"/>
            <w:shd w:fill="1F4E79"/>
            <w:vAlign w:val="center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/>
                <w:color w:val="FFFFFF"/>
                <w:sz w:val="22"/>
              </w:rPr>
              <w:t>Значение</w:t>
            </w:r>
          </w:p>
        </w:tc>
      </w:tr>
      <w:tr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Заданная частота сигнала</w:t>
            </w:r>
          </w:p>
        </w:tc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25 Гц</w:t>
            </w:r>
          </w:p>
        </w:tc>
      </w:tr>
      <w:tr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Ближайший отсчет к 25 Гц</w:t>
            </w:r>
          </w:p>
        </w:tc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25.431426 Гц</w:t>
            </w:r>
          </w:p>
        </w:tc>
      </w:tr>
      <w:tr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Максимальная амплитуда спектра</w:t>
            </w:r>
          </w:p>
        </w:tc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121.214539</w:t>
            </w:r>
          </w:p>
        </w:tc>
      </w:tr>
      <w:tr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Частота максимума спектра</w:t>
            </w:r>
          </w:p>
        </w:tc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25.431426 Гц</w:t>
            </w:r>
          </w:p>
        </w:tc>
      </w:tr>
      <w:tr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Количество спектральных отсчетов</w:t>
            </w:r>
          </w:p>
        </w:tc>
        <w:tc>
          <w:tcPr>
            <w:tcW w:type="dxa" w:w="5128"/>
            <w:shd w:fill="FFFFFF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551</w:t>
            </w:r>
          </w:p>
        </w:tc>
      </w:tr>
      <w:tr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left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Совпадение файлов генератора и управляющего устройства</w:t>
            </w:r>
          </w:p>
        </w:tc>
        <w:tc>
          <w:tcPr>
            <w:tcW w:type="dxa" w:w="5128"/>
            <w:shd w:fill="F3F6F8"/>
            <w:vAlign w:val="center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</w:tcPr>
          <w:p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sz w:val="22"/>
              </w:rPr>
            </w:r>
            <w:r>
              <w:rPr>
                <w:rFonts w:ascii="Times New Roman" w:hAnsi="Times New Roman" w:eastAsia="Times New Roman"/>
                <w:b w:val="0"/>
                <w:sz w:val="22"/>
              </w:rPr>
              <w:t>да</w:t>
            </w:r>
          </w:p>
        </w:tc>
      </w:tr>
    </w:tbl>
    <w:p>
      <w:pPr>
        <w:spacing w:before="40" w:after="160"/>
        <w:jc w:val="center"/>
      </w:pPr>
      <w:r>
        <w:rPr>
          <w:rFonts w:ascii="Times New Roman" w:hAnsi="Times New Roman" w:eastAsia="Times New Roman"/>
          <w:i/>
          <w:sz w:val="22"/>
        </w:rPr>
        <w:t>Таблица 2 - Численные результаты обработки спектра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03999" cy="28917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pectrum_clea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3999" cy="28917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160"/>
        <w:jc w:val="center"/>
      </w:pPr>
      <w:r>
        <w:rPr>
          <w:rFonts w:ascii="Times New Roman" w:hAnsi="Times New Roman" w:eastAsia="Times New Roman"/>
          <w:i/>
          <w:sz w:val="22"/>
        </w:rPr>
        <w:t>Рисунок 3 - Амплитудный спектр по данным TXT-файла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Максимум спектра получен на частоте 25.43 Гц, что соответствует заданной частоте синусоидального сигнала 25 Гц с учетом дискретного шага спектральной сетки 0.908265 Гц. Основной пик расположен в области 25 Гц, а амплитуды на остальных частотах ниже, поэтому результат согласуется с выбранной формой сигнала.</w:t>
      </w:r>
    </w:p>
    <w:p>
      <w:pPr>
        <w:spacing w:after="120"/>
        <w:ind w:firstLine="425"/>
        <w:jc w:val="both"/>
      </w:pPr>
      <w:r>
        <w:rPr>
          <w:rFonts w:ascii="Times New Roman" w:hAnsi="Times New Roman" w:eastAsia="Times New Roman"/>
          <w:sz w:val="26"/>
        </w:rPr>
        <w:t>Сравнение TXT-файлов, записанных генератором и управляющим устройством, показало их совпадение. Это подтверждает, что массивы данных были сформированы одинаково, а обмен между программами прошел корректно.</w:t>
      </w:r>
    </w:p>
    <w:p>
      <w:r>
        <w:br w:type="page"/>
      </w:r>
    </w:p>
    <w:p>
      <w:pPr>
        <w:pStyle w:val="Heading1"/>
        <w:spacing w:before="160" w:after="120"/>
        <w:pBdr>
          <w:bottom w:val="single" w:sz="8" w:space="4" w:color="D7E3EF"/>
        </w:pBdr>
      </w:pPr>
      <w:r>
        <w:rPr>
          <w:rFonts w:ascii="Times New Roman" w:hAnsi="Times New Roman" w:eastAsia="Times New Roman"/>
          <w:b/>
          <w:color w:val="1F4E79"/>
          <w:sz w:val="30"/>
        </w:rPr>
        <w:t>5. Вывод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Исследована работа программ «Генератор.vi» и «Управляющее устройство.vi» при обмене данными через последовательный интерфейс RS-232.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Программы приведены к структуре Standard State Machine, что упростило разделение этапов работы и обработку ошибок.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Для варианта 1 сформирован синусоидальный сигнал с частотой 25 Гц и числом измерений N = 1100.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Амплитудный спектр имеет основной максимум 121.21 на частоте 25.43 Гц, что подтверждает корректность полученного результата.</w:t>
      </w:r>
    </w:p>
    <w:p>
      <w:pPr>
        <w:pStyle w:val="ListBullet"/>
        <w:spacing w:after="40"/>
        <w:ind w:left="425" w:hanging="198"/>
      </w:pPr>
      <w:r>
        <w:rPr>
          <w:rFonts w:ascii="Times New Roman" w:hAnsi="Times New Roman" w:eastAsia="Times New Roman"/>
          <w:sz w:val="26"/>
        </w:rPr>
        <w:t xml:space="preserve"> Сохраненные TXT-файлы генератора и управляющего устройства совпадают, следовательно обмен данными и запись результатов выполнены корректно.</w:t>
      </w:r>
    </w:p>
    <w:sectPr w:rsidR="00FC693F" w:rsidRPr="0006063C" w:rsidSect="00034616">
      <w:footerReference w:type="default" r:id="rId9"/>
      <w:headerReference w:type="default" r:id="rId10"/>
      <w:pgSz w:w="12240" w:h="15840"/>
      <w:pgMar w:top="964" w:right="850" w:bottom="964" w:left="1134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05050"/>
        <w:sz w:val="20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505050"/>
        <w:sz w:val="20"/>
      </w:rPr>
      <w:t>Лабораторная работа «Модуль LabVIEW»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